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F7330D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F7330D" w:rsidRPr="007813D8" w:rsidRDefault="00F7330D" w:rsidP="00F7330D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F7330D" w:rsidRPr="00356EE1" w:rsidRDefault="00F7330D" w:rsidP="00F7330D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5B5D838A" w:rsidR="00F7330D" w:rsidRPr="009509B6" w:rsidRDefault="00F7330D" w:rsidP="00F7330D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Interno upravljanje poslovnim procesima, administracija zaposlenika, zaštita IT sustava, ispunjenje zakonskih obveza, komunikacija s klijentima i institucijama.</w:t>
            </w:r>
          </w:p>
        </w:tc>
      </w:tr>
      <w:tr w:rsidR="00F7330D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F7330D" w:rsidRPr="007813D8" w:rsidRDefault="00F7330D" w:rsidP="00F7330D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F7330D" w:rsidRPr="007813D8" w:rsidRDefault="00F7330D" w:rsidP="00F7330D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2D8C2D22" w:rsidR="00F7330D" w:rsidRPr="009509B6" w:rsidRDefault="00F7330D" w:rsidP="00F7330D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bez obrade podataka nije moguće osigurati zakonitost, učinkovitost i sigurnost poslovnih aktivnosti.</w:t>
            </w:r>
          </w:p>
        </w:tc>
      </w:tr>
      <w:tr w:rsidR="00F7330D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F7330D" w:rsidRPr="007813D8" w:rsidRDefault="00F7330D" w:rsidP="00F7330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F7330D" w:rsidRPr="007813D8" w:rsidRDefault="00F7330D" w:rsidP="00F7330D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75AC4FAF" w:rsidR="00F7330D" w:rsidRPr="009509B6" w:rsidRDefault="00F7330D" w:rsidP="00F7330D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Voditelj obrade (TPA), zaposlenici (kroz obradu plaća, ugovora itd.), klijenti (putem strukturirane komunikacije i usluge).</w:t>
            </w:r>
          </w:p>
        </w:tc>
      </w:tr>
      <w:tr w:rsidR="00F7330D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F7330D" w:rsidRPr="007813D8" w:rsidRDefault="00F7330D" w:rsidP="00F7330D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F7330D" w:rsidRPr="007813D8" w:rsidRDefault="00F7330D" w:rsidP="00F7330D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6E79E0B6" w:rsidR="00F7330D" w:rsidRPr="009509B6" w:rsidRDefault="00F7330D" w:rsidP="00F7330D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 – vanjski dobavljači IT podrške mogu imati koristi u smislu održavanja usklađenih i sigurnih sustava.</w:t>
            </w:r>
          </w:p>
        </w:tc>
      </w:tr>
      <w:tr w:rsidR="00F7330D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F7330D" w:rsidRPr="007813D8" w:rsidRDefault="00F7330D" w:rsidP="00F7330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F7330D" w:rsidRPr="007813D8" w:rsidRDefault="00F7330D" w:rsidP="00F7330D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54AE94C9" w:rsidR="00F7330D" w:rsidRPr="009509B6" w:rsidRDefault="00F7330D" w:rsidP="00F7330D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poslovna organizacija, upravljanje resursima, sigurnost sustava i kontinuitet poslovanja.</w:t>
            </w:r>
          </w:p>
        </w:tc>
      </w:tr>
      <w:tr w:rsidR="00F7330D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F7330D" w:rsidRPr="007813D8" w:rsidRDefault="00F7330D" w:rsidP="00F7330D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F7330D" w:rsidRPr="007813D8" w:rsidRDefault="00F7330D" w:rsidP="00F7330D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488EC7CC" w:rsidR="00F7330D" w:rsidRPr="009509B6" w:rsidRDefault="00F7330D" w:rsidP="00F7330D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obrada je u skladu s GDPR člankom 6(1)(f) i Zakonom o radu / računovodstvenim propisima.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FB40CC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FB40CC" w:rsidRPr="009509B6" w:rsidRDefault="00FB40CC" w:rsidP="00FB40CC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08BAE038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– obrada osobnih podataka je nužna za izvršenje administrativnih zadataka i usklađenost sa zakonom.</w:t>
            </w:r>
          </w:p>
        </w:tc>
      </w:tr>
      <w:tr w:rsidR="00FB40CC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FB40CC" w:rsidRPr="009509B6" w:rsidRDefault="00FB40CC" w:rsidP="00FB40CC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04387B32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Bez identifikacijskih i kontaktnih podataka nije moguće provoditi upravljanje zaposlenicima, IT pristupima i financijama.</w:t>
            </w:r>
          </w:p>
        </w:tc>
      </w:tr>
      <w:tr w:rsidR="00FB40CC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FB40CC" w:rsidRPr="009509B6" w:rsidRDefault="00FB40CC" w:rsidP="00FB40CC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05DADF25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primijenjene su tehničke i organizacijske mjere za minimiziranje utjecaja na ispitanike.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FB40CC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FB40CC" w:rsidRPr="009509B6" w:rsidRDefault="00FB40CC" w:rsidP="00FB40CC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49881A8E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obrada se odnosi na zaposlenike, suradnike, klijente i dobavljače.</w:t>
            </w:r>
          </w:p>
        </w:tc>
      </w:tr>
      <w:tr w:rsidR="00FB40CC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FB40CC" w:rsidRPr="009509B6" w:rsidRDefault="00FB40CC" w:rsidP="00FB40CC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056F9B5F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Identifikacijski, kontaktni, radni status, financijski, tehnički podaci.</w:t>
            </w:r>
          </w:p>
        </w:tc>
      </w:tr>
      <w:tr w:rsidR="00FB40CC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FB40CC" w:rsidRPr="00356EE1" w:rsidRDefault="00FB40CC" w:rsidP="00FB40CC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25A84090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</w:t>
            </w:r>
          </w:p>
        </w:tc>
      </w:tr>
      <w:tr w:rsidR="00FB40CC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FB40CC" w:rsidRPr="009509B6" w:rsidRDefault="00FB40CC" w:rsidP="00FB40CC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42C19EDE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 – omogućuje isplatu plaća, ispunjenje obveza i bolju organizaciju posla.</w:t>
            </w:r>
          </w:p>
        </w:tc>
      </w:tr>
      <w:tr w:rsidR="00FB40CC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FB40CC" w:rsidRPr="009509B6" w:rsidRDefault="00FB40CC" w:rsidP="00FB40CC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18F87A3A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U pravilu ne, ali postoji mogućnost neugodnosti u slučaju povrede – zato su uvedene sigurnosne mjere.</w:t>
            </w:r>
          </w:p>
        </w:tc>
      </w:tr>
      <w:tr w:rsidR="00FB40CC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FB40CC" w:rsidRPr="009509B6" w:rsidRDefault="00FB40CC" w:rsidP="00FB40CC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0F75B2CE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u normalnim uvjetima – uz uvjet poštivanja mjera zaštite.</w:t>
            </w:r>
          </w:p>
        </w:tc>
      </w:tr>
      <w:tr w:rsidR="00FB40CC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FB40CC" w:rsidRPr="009509B6" w:rsidRDefault="00FB40CC" w:rsidP="00FB40CC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31593100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Poremećaj u poslovanju, kašnjenja u plaćama, problemi u nadzoru nad IT sustavima.</w:t>
            </w:r>
          </w:p>
        </w:tc>
      </w:tr>
      <w:tr w:rsidR="00FB40CC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FB40CC" w:rsidRPr="009509B6" w:rsidRDefault="00FB40CC" w:rsidP="00FB40CC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45B98E43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politike privatnosti, ugovora o radu i internih pravilnika.</w:t>
            </w:r>
          </w:p>
        </w:tc>
      </w:tr>
      <w:tr w:rsidR="00FB40CC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FB40CC" w:rsidRPr="009509B6" w:rsidRDefault="00FB40CC" w:rsidP="00FB40CC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7A938231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Interni sustavi – HRM, ERP, DMS, IT logovi.</w:t>
            </w:r>
          </w:p>
        </w:tc>
      </w:tr>
      <w:tr w:rsidR="00FB40CC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FB40CC" w:rsidRPr="009509B6" w:rsidRDefault="00FB40CC" w:rsidP="00FB40CC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07F69A8C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Niska – obrada je očekivana i utemeljena.</w:t>
            </w:r>
          </w:p>
        </w:tc>
      </w:tr>
      <w:tr w:rsidR="00FB40CC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FB40CC" w:rsidRPr="009509B6" w:rsidRDefault="00FB40CC" w:rsidP="00FB40CC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</w:t>
            </w:r>
            <w:r w:rsidRPr="00674E62">
              <w:lastRenderedPageBreak/>
              <w:t>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1A93B35F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lastRenderedPageBreak/>
              <w:t>Nije primjenjivo – marketing nije svrha ove obrade.</w:t>
            </w:r>
          </w:p>
        </w:tc>
      </w:tr>
      <w:tr w:rsidR="00FB40CC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FB40CC" w:rsidRDefault="00FB40CC" w:rsidP="00FB40CC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2F54F411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Pisanim putem prema DPO-u, uz jasno opisana prava.</w:t>
            </w:r>
          </w:p>
        </w:tc>
      </w:tr>
      <w:tr w:rsidR="00FB40CC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FB40CC" w:rsidRDefault="00FB40CC" w:rsidP="00FB40CC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6923FEA0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direktno, ali će unaprijediti unutarnju organizaciju i učinkovitost.</w:t>
            </w:r>
          </w:p>
        </w:tc>
      </w:tr>
      <w:tr w:rsidR="00FB40CC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FB40CC" w:rsidRPr="009509B6" w:rsidRDefault="00FB40CC" w:rsidP="00FB40C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FB40CC" w:rsidRDefault="00FB40CC" w:rsidP="00FB40CC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24EC20C9" w:rsidR="00FB40CC" w:rsidRPr="009509B6" w:rsidRDefault="00FB40CC" w:rsidP="00FB40CC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 – zaposlenici mogu osjećati obvezu, no postoji ravnoteža kroz jasna pravila i interne mehanizme.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2389" w14:textId="77777777" w:rsidR="0026312E" w:rsidRDefault="0026312E" w:rsidP="00FC27F1">
      <w:pPr>
        <w:spacing w:after="0" w:line="240" w:lineRule="auto"/>
      </w:pPr>
      <w:r>
        <w:separator/>
      </w:r>
    </w:p>
  </w:endnote>
  <w:endnote w:type="continuationSeparator" w:id="0">
    <w:p w14:paraId="174ED262" w14:textId="77777777" w:rsidR="0026312E" w:rsidRDefault="0026312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1908" w14:textId="77777777" w:rsidR="0026312E" w:rsidRDefault="0026312E" w:rsidP="00FC27F1">
      <w:pPr>
        <w:spacing w:after="0" w:line="240" w:lineRule="auto"/>
      </w:pPr>
      <w:r>
        <w:separator/>
      </w:r>
    </w:p>
  </w:footnote>
  <w:footnote w:type="continuationSeparator" w:id="0">
    <w:p w14:paraId="19D6DE36" w14:textId="77777777" w:rsidR="0026312E" w:rsidRDefault="0026312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54F6F"/>
    <w:rsid w:val="004C1629"/>
    <w:rsid w:val="004E0BC8"/>
    <w:rsid w:val="004F1912"/>
    <w:rsid w:val="005418EE"/>
    <w:rsid w:val="00543F67"/>
    <w:rsid w:val="00543F71"/>
    <w:rsid w:val="00584D8A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6091"/>
    <w:rsid w:val="00B8047C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E04BF6"/>
    <w:rsid w:val="00E14A01"/>
    <w:rsid w:val="00E1688D"/>
    <w:rsid w:val="00E71A72"/>
    <w:rsid w:val="00E762F5"/>
    <w:rsid w:val="00EE41DF"/>
    <w:rsid w:val="00F03A11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11</cp:revision>
  <dcterms:created xsi:type="dcterms:W3CDTF">2020-01-09T13:56:00Z</dcterms:created>
  <dcterms:modified xsi:type="dcterms:W3CDTF">2025-07-13T14:00:00Z</dcterms:modified>
</cp:coreProperties>
</file>