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297FB9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297FB9" w:rsidRPr="007813D8" w:rsidRDefault="00297FB9" w:rsidP="00297FB9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297FB9" w:rsidRPr="00356EE1" w:rsidRDefault="00297FB9" w:rsidP="00297FB9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1C349423" w:rsidR="00297FB9" w:rsidRPr="009509B6" w:rsidRDefault="00297FB9" w:rsidP="00297FB9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Financijsko restrukturiranje društava, optimizacija obveza i upravljanje rizicima, izvještavanje prema vjerovnicima i regulatorima.</w:t>
            </w:r>
          </w:p>
        </w:tc>
      </w:tr>
      <w:tr w:rsidR="00297FB9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297FB9" w:rsidRPr="007813D8" w:rsidRDefault="00297FB9" w:rsidP="00297FB9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297FB9" w:rsidRPr="007813D8" w:rsidRDefault="00297FB9" w:rsidP="00297FB9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2823C195" w:rsidR="00297FB9" w:rsidRPr="009509B6" w:rsidRDefault="00297FB9" w:rsidP="00297FB9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Bez obrade osobnih i financijskih podataka ne bi bilo moguće provoditi analize ni restrukturiranje.</w:t>
            </w:r>
          </w:p>
        </w:tc>
      </w:tr>
      <w:tr w:rsidR="00297FB9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297FB9" w:rsidRPr="007813D8" w:rsidRDefault="00297FB9" w:rsidP="00297FB9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297FB9" w:rsidRPr="007813D8" w:rsidRDefault="00297FB9" w:rsidP="00297FB9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7EC633D0" w:rsidR="00297FB9" w:rsidRPr="009509B6" w:rsidRDefault="00297FB9" w:rsidP="00297FB9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Voditelj obrade, klijent (pravna osoba), vjerovnici, banke, potencijalni investitori.</w:t>
            </w:r>
          </w:p>
        </w:tc>
      </w:tr>
      <w:tr w:rsidR="00297FB9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297FB9" w:rsidRPr="007813D8" w:rsidRDefault="00297FB9" w:rsidP="00297FB9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297FB9" w:rsidRPr="007813D8" w:rsidRDefault="00297FB9" w:rsidP="00297FB9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14BEA5BB" w:rsidR="00297FB9" w:rsidRPr="009509B6" w:rsidRDefault="00297FB9" w:rsidP="00297FB9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jer su podaci potrebni kako bi vjerovnici, banke i revizori mogli procijeniti financijsko stanje i donijeti informirane odluke.</w:t>
            </w:r>
          </w:p>
        </w:tc>
      </w:tr>
      <w:tr w:rsidR="00297FB9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297FB9" w:rsidRPr="007813D8" w:rsidRDefault="00297FB9" w:rsidP="00297FB9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297FB9" w:rsidRPr="007813D8" w:rsidRDefault="00297FB9" w:rsidP="00297FB9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70E8B173" w:rsidR="00297FB9" w:rsidRPr="009509B6" w:rsidRDefault="00297FB9" w:rsidP="00297FB9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Zakonito i učinkovito vođenje procesa financijskog restrukturiranja, zaštita poslovanja i usklađenost s propisima.</w:t>
            </w:r>
          </w:p>
        </w:tc>
      </w:tr>
      <w:tr w:rsidR="00297FB9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297FB9" w:rsidRPr="007813D8" w:rsidRDefault="00297FB9" w:rsidP="00297FB9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297FB9" w:rsidRPr="007813D8" w:rsidRDefault="00297FB9" w:rsidP="00297FB9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29EC83A9" w:rsidR="00297FB9" w:rsidRPr="009509B6" w:rsidRDefault="00297FB9" w:rsidP="00297FB9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poslovne potrebe za financijskim analizama i restrukturiranjem priznate su u poslovnoj praksi i zakonodavstvu.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BB2B56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BB2B56" w:rsidRPr="009509B6" w:rsidRDefault="00BB2B56" w:rsidP="00BB2B56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291C3731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 Anonimizirani ili pseudonimizirani podaci ne bi omogućili identifikaciju dionika ni povezivanje dugovanja s konkretnim subjektima.</w:t>
            </w:r>
          </w:p>
        </w:tc>
      </w:tr>
      <w:tr w:rsidR="00BB2B56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BB2B56" w:rsidRPr="009509B6" w:rsidRDefault="00BB2B56" w:rsidP="00BB2B56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3A7E1556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Bez obrade osobnih podataka nije moguće utvrditi stvarne vjerovnike, povezane strane, izraditi plan otplate ni komunicirati s dionicima.</w:t>
            </w:r>
          </w:p>
        </w:tc>
      </w:tr>
      <w:tr w:rsidR="00BB2B56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BB2B56" w:rsidRPr="009509B6" w:rsidRDefault="00BB2B56" w:rsidP="00BB2B56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12056979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Podaci se obrađuju samo u mjeri nužnoj za restrukturiranje, uz tehničke i organizacijske mjere zaštite.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BB2B56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BB2B56" w:rsidRPr="009509B6" w:rsidRDefault="00BB2B56" w:rsidP="00BB2B56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1CAF77F4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Radi se o direktorima, vlasnicima, zaposlenicima i poslovnim partnerima povezanima s pravnom osobom u restrukturiranju.</w:t>
            </w:r>
          </w:p>
        </w:tc>
      </w:tr>
      <w:tr w:rsidR="00BB2B56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BB2B56" w:rsidRPr="009509B6" w:rsidRDefault="00BB2B56" w:rsidP="00BB2B56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12999B84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Identifikacijski, kontakt, financijski, porezni i komunikacijski podaci.</w:t>
            </w:r>
          </w:p>
        </w:tc>
      </w:tr>
      <w:tr w:rsidR="00BB2B56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BB2B56" w:rsidRPr="00356EE1" w:rsidRDefault="00BB2B56" w:rsidP="00BB2B56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29EFE28F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 Obrada ne uključuje posebne kategorije ni biometrijske podatke.</w:t>
            </w:r>
          </w:p>
        </w:tc>
      </w:tr>
      <w:tr w:rsidR="00BB2B56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BB2B56" w:rsidRPr="009509B6" w:rsidRDefault="00BB2B56" w:rsidP="00BB2B56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72D345FD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Omogućuje očuvanje poslovanja i potencijalno spašavanje radnih mjesta, ugovora i financijske održivosti.</w:t>
            </w:r>
          </w:p>
        </w:tc>
      </w:tr>
      <w:tr w:rsidR="00BB2B56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BB2B56" w:rsidRPr="009509B6" w:rsidRDefault="00BB2B56" w:rsidP="00BB2B56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2E30E409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Moguće, ali uz tehničke mjere i pravne mehanizme, uključujući pravo na prigovor.</w:t>
            </w:r>
          </w:p>
        </w:tc>
      </w:tr>
      <w:tr w:rsidR="00BB2B56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BB2B56" w:rsidRPr="009509B6" w:rsidRDefault="00BB2B56" w:rsidP="00BB2B56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24A9011E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Rizici su identificirani (npr. reputacijska šteta), ali se ublažavaju kroz sigurnosne mjere.</w:t>
            </w:r>
          </w:p>
        </w:tc>
      </w:tr>
      <w:tr w:rsidR="00BB2B56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BB2B56" w:rsidRPr="009509B6" w:rsidRDefault="00BB2B56" w:rsidP="00BB2B56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029C9932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Onemogućeno restrukturiranje, potencijalni stečaj, financijski gubici i neizvršenje ugovornih obveza.</w:t>
            </w:r>
          </w:p>
        </w:tc>
      </w:tr>
      <w:tr w:rsidR="00BB2B56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BB2B56" w:rsidRPr="009509B6" w:rsidRDefault="00BB2B56" w:rsidP="00BB2B56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4CADB69B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ugovora, politika privatnosti, komunikacije s klijentima i ispitanicima.</w:t>
            </w:r>
          </w:p>
        </w:tc>
      </w:tr>
      <w:tr w:rsidR="00BB2B56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BB2B56" w:rsidRPr="009509B6" w:rsidRDefault="00BB2B56" w:rsidP="00BB2B56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3F432EEE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Interni dokumenti, aplikacije, e-mailovi, dokumentacija od klijenata i trećih strana (npr. sudski registri).</w:t>
            </w:r>
          </w:p>
        </w:tc>
      </w:tr>
      <w:tr w:rsidR="00BB2B56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BB2B56" w:rsidRPr="009509B6" w:rsidRDefault="00BB2B56" w:rsidP="00BB2B56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0F6C2A0B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Niska. Ispitanici su u pravilu svjesni svrhe obrade jer je povezana s njihovim poslovnim interesima.</w:t>
            </w:r>
          </w:p>
        </w:tc>
      </w:tr>
      <w:tr w:rsidR="00BB2B56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BB2B56" w:rsidRPr="009509B6" w:rsidRDefault="00BB2B56" w:rsidP="00BB2B56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4395A9B5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Nije primjenjivo. Obrada se ne koristi za marketing.</w:t>
            </w:r>
          </w:p>
        </w:tc>
      </w:tr>
      <w:tr w:rsidR="00BB2B56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BB2B56" w:rsidRDefault="00BB2B56" w:rsidP="00BB2B56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5F9C6A0E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komunikacije, formalnog zahtjeva ili e-mailom voditelju obrade.</w:t>
            </w:r>
          </w:p>
        </w:tc>
      </w:tr>
      <w:tr w:rsidR="00BB2B56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BB2B56" w:rsidRDefault="00BB2B56" w:rsidP="00BB2B56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0E9D8B1B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omogućuje pružanje savjetodavnih i restrukturacijskih usluga s većom preciznošću.</w:t>
            </w:r>
          </w:p>
        </w:tc>
      </w:tr>
      <w:tr w:rsidR="00BB2B56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BB2B56" w:rsidRPr="009509B6" w:rsidRDefault="00BB2B56" w:rsidP="00BB2B56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BB2B56" w:rsidRDefault="00BB2B56" w:rsidP="00BB2B56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4CEE537D" w:rsidR="00BB2B56" w:rsidRPr="009509B6" w:rsidRDefault="00BB2B56" w:rsidP="00BB2B56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U ograničenoj mjeri, ali se ublažava kroz transparentnost, informiranost i prava ispitanika.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97FB9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B2B56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DF4BC6"/>
    <w:rsid w:val="00E04BF6"/>
    <w:rsid w:val="00E14A01"/>
    <w:rsid w:val="00E1688D"/>
    <w:rsid w:val="00E71A72"/>
    <w:rsid w:val="00E762F5"/>
    <w:rsid w:val="00EE41DF"/>
    <w:rsid w:val="00F03A11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2025-07-13T14:39:00Z</dcterms:modified>
</cp:coreProperties>
</file>