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943290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943290" w:rsidRPr="007813D8" w:rsidRDefault="00943290" w:rsidP="00943290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943290" w:rsidRPr="00356EE1" w:rsidRDefault="00943290" w:rsidP="00943290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4968878A" w:rsidR="00943290" w:rsidRPr="009509B6" w:rsidRDefault="00943290" w:rsidP="009432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Svrha je osiguranje zakonske usklađenosti s računovodstvenim i poreznim propisima, kao i izrada točnih i transparentnih financijskih izvještaja za interne i eksterne potrebe.</w:t>
            </w:r>
          </w:p>
        </w:tc>
      </w:tr>
      <w:tr w:rsidR="00943290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943290" w:rsidRPr="007813D8" w:rsidRDefault="00943290" w:rsidP="00943290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943290" w:rsidRPr="007813D8" w:rsidRDefault="00943290" w:rsidP="00943290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4A24A64E" w:rsidR="00943290" w:rsidRPr="009509B6" w:rsidRDefault="00943290" w:rsidP="009432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Bez obrade osobnih i financijskih podataka nije moguće izraditi izvještaje potrebne za zakonodavne obveze i donošenje menadžerskih odluka.</w:t>
            </w:r>
          </w:p>
        </w:tc>
      </w:tr>
      <w:tr w:rsidR="00943290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943290" w:rsidRPr="007813D8" w:rsidRDefault="00943290" w:rsidP="0094329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943290" w:rsidRPr="007813D8" w:rsidRDefault="00943290" w:rsidP="00943290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7B0CCAC2" w:rsidR="00943290" w:rsidRPr="009509B6" w:rsidRDefault="00943290" w:rsidP="009432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 (TPA), menadžment, porezna uprava, revizori, a posredno i ispitanici (zaposlenici) kroz točnu i pravodobnu isplatu.</w:t>
            </w:r>
          </w:p>
        </w:tc>
      </w:tr>
      <w:tr w:rsidR="00943290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943290" w:rsidRPr="007813D8" w:rsidRDefault="00943290" w:rsidP="00943290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943290" w:rsidRPr="007813D8" w:rsidRDefault="00943290" w:rsidP="00943290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34CB7F2B" w:rsidR="00943290" w:rsidRPr="009509B6" w:rsidRDefault="00943290" w:rsidP="009432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npr. za poreznu upravu ili vanjske revizore. Bez obrađenih podataka ne mogu izvršavati svoje regulatorne funkcije.</w:t>
            </w:r>
          </w:p>
        </w:tc>
      </w:tr>
      <w:tr w:rsidR="00943290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943290" w:rsidRPr="007813D8" w:rsidRDefault="00943290" w:rsidP="0094329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943290" w:rsidRPr="007813D8" w:rsidRDefault="00943290" w:rsidP="00943290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7DDA76D9" w:rsidR="00943290" w:rsidRPr="009509B6" w:rsidRDefault="00943290" w:rsidP="009432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točnost i učinkovitost financijskog izvještavanja, zakonita isplata plaća i naknada, unaprjeđenje financijskog planiranja.</w:t>
            </w:r>
          </w:p>
        </w:tc>
      </w:tr>
      <w:tr w:rsidR="00943290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943290" w:rsidRPr="007813D8" w:rsidRDefault="00943290" w:rsidP="00943290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943290" w:rsidRPr="007813D8" w:rsidRDefault="00943290" w:rsidP="00943290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410E680E" w:rsidR="00943290" w:rsidRPr="009509B6" w:rsidRDefault="00943290" w:rsidP="009432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Djelomično. Primarno se temelji na zakonskoj obvezi, ali optimizacija i izvještavanje u poslovne svrhe spadaju pod legitimni interes.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BE6B72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BE6B72" w:rsidRPr="009509B6" w:rsidRDefault="00BE6B72" w:rsidP="00BE6B72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0AEEFF68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– financijska i porezna izvješća zahtijevaju jasno identificirane podatke.</w:t>
            </w:r>
          </w:p>
        </w:tc>
      </w:tr>
      <w:tr w:rsidR="00BE6B72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BE6B72" w:rsidRPr="009509B6" w:rsidRDefault="00BE6B72" w:rsidP="00BE6B72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0DC8E69A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Bez obrade nije moguće osigurati točnost i zakonitost izvještavanja ni ispuniti regulatorne zahtjeve.</w:t>
            </w:r>
          </w:p>
        </w:tc>
      </w:tr>
      <w:tr w:rsidR="00BE6B72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BE6B72" w:rsidRPr="009509B6" w:rsidRDefault="00BE6B72" w:rsidP="00BE6B72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6F436B69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podaci se obrađuju u nužnom opsegu, uz tehničke i organizacijske mjere zaštite.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BE6B72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BE6B72" w:rsidRPr="009509B6" w:rsidRDefault="00BE6B72" w:rsidP="00BE6B72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7949AB2D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ispitanici su zaposlenici TPA.</w:t>
            </w:r>
          </w:p>
        </w:tc>
      </w:tr>
      <w:tr w:rsidR="00BE6B72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BE6B72" w:rsidRPr="009509B6" w:rsidRDefault="00BE6B72" w:rsidP="00BE6B72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1A38D9E2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Identifikacijski, kontakt, financijski, radno-pravni podaci, tehnički podaci sustava.</w:t>
            </w:r>
          </w:p>
        </w:tc>
      </w:tr>
      <w:tr w:rsidR="00BE6B72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BE6B72" w:rsidRPr="00356EE1" w:rsidRDefault="00BE6B72" w:rsidP="00BE6B72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120B623C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BE6B72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BE6B72" w:rsidRPr="009509B6" w:rsidRDefault="00BE6B72" w:rsidP="00BE6B72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59C454F0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omogućuje isplate plaća, poštivanje zakona, zaštitu prava iz radnog odnosa.</w:t>
            </w:r>
          </w:p>
        </w:tc>
      </w:tr>
      <w:tr w:rsidR="00BE6B72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BE6B72" w:rsidRPr="009509B6" w:rsidRDefault="00BE6B72" w:rsidP="00BE6B72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5BFB5D6B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Minimalno – uz mjere zaštite i informiranost ispitanika.</w:t>
            </w:r>
          </w:p>
        </w:tc>
      </w:tr>
      <w:tr w:rsidR="00BE6B72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BE6B72" w:rsidRPr="009509B6" w:rsidRDefault="00BE6B72" w:rsidP="00BE6B72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553BB0BB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Rizik postoji (npr. krađa identiteta), ali je mitigiran tehničkim i organizacijskim mjerama.</w:t>
            </w:r>
          </w:p>
        </w:tc>
      </w:tr>
      <w:tr w:rsidR="00BE6B72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BE6B72" w:rsidRPr="009509B6" w:rsidRDefault="00BE6B72" w:rsidP="00BE6B72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6DF7CE1F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poslovanje bi bilo u neskladu s pravnim obvezama i ne bi bilo moguće donositi financijske odluke.</w:t>
            </w:r>
          </w:p>
        </w:tc>
      </w:tr>
      <w:tr w:rsidR="00BE6B72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BE6B72" w:rsidRPr="009509B6" w:rsidRDefault="00BE6B72" w:rsidP="00BE6B72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56AB7372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internih pravilnika i obavijesti o obradi.</w:t>
            </w:r>
          </w:p>
        </w:tc>
      </w:tr>
      <w:tr w:rsidR="00BE6B72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BE6B72" w:rsidRPr="009509B6" w:rsidRDefault="00BE6B72" w:rsidP="00BE6B72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0A78C3BE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sustavi – HR, ERP, financijski sustavi.</w:t>
            </w:r>
          </w:p>
        </w:tc>
      </w:tr>
      <w:tr w:rsidR="00BE6B72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BE6B72" w:rsidRPr="009509B6" w:rsidRDefault="00BE6B72" w:rsidP="00BE6B72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55FA1601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Niska vjerojatnost – obrada se temelji na zakonskoj obvezi i legitimnim interesima.</w:t>
            </w:r>
          </w:p>
        </w:tc>
      </w:tr>
      <w:tr w:rsidR="00BE6B72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BE6B72" w:rsidRPr="009509B6" w:rsidRDefault="00BE6B72" w:rsidP="00BE6B72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</w:t>
            </w:r>
            <w:r w:rsidRPr="00674E62">
              <w:lastRenderedPageBreak/>
              <w:t>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762B173A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lastRenderedPageBreak/>
              <w:t>Nije primjenjivo – obrada nije u svrhu marketinga.</w:t>
            </w:r>
          </w:p>
        </w:tc>
      </w:tr>
      <w:tr w:rsidR="00BE6B72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BE6B72" w:rsidRDefault="00BE6B72" w:rsidP="00BE6B72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6E26F75D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službenika za zaštitu podataka – ostvarivanjem prava iz GDPR-a.</w:t>
            </w:r>
          </w:p>
        </w:tc>
      </w:tr>
      <w:tr w:rsidR="00BE6B72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BE6B72" w:rsidRDefault="00BE6B72" w:rsidP="00BE6B72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67ECAF2E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izravno, ali će unaprijediti interne poslovne procese.</w:t>
            </w:r>
          </w:p>
        </w:tc>
      </w:tr>
      <w:tr w:rsidR="00BE6B72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BE6B72" w:rsidRPr="009509B6" w:rsidRDefault="00BE6B72" w:rsidP="00BE6B72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BE6B72" w:rsidRDefault="00BE6B72" w:rsidP="00BE6B72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7E097669" w:rsidR="00BE6B72" w:rsidRPr="009509B6" w:rsidRDefault="00BE6B72" w:rsidP="00BE6B72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U određenoj mjeri da, no to se ublažava jasnim pravilima, pravima ispitanika i transparentnošću.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C3E0D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43290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BE6B72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2025-07-13T14:51:00Z</dcterms:modified>
</cp:coreProperties>
</file>